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Puurkaevu või puuraugu asukoha kooskõlastamise taotlus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382"/>
        <w:gridCol w:w="999"/>
        <w:gridCol w:w="2207"/>
        <w:gridCol w:w="940"/>
        <w:gridCol w:w="1648"/>
        <w:gridCol w:w="1885"/>
      </w:tblGrid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TAOTLEJA ANDMED</w:t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Inimeste, keda puurkaevu veega varustatakse, orienteeriv arv</w:t>
            </w:r>
          </w:p>
        </w:tc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>
        <w:trPr/>
        <w:tc>
          <w:tcPr>
            <w:tcW w:w="7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 allkiri ja kuupäev (täidetakse juhul, kui taotlus ei ole digiallkirjastatud)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689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LibreOffice/6.3.6.2$Windows_X86_64 LibreOffice_project/2196df99b074d8a661f4036fca8fa0cbfa33a497</Application>
  <Pages>1</Pages>
  <Words>86</Words>
  <Characters>610</Characters>
  <CharactersWithSpaces>671</CharactersWithSpaces>
  <Paragraphs>26</Paragraphs>
  <Company>Keskkonnaministeeriumi Infotehnoloogiakeskus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2020-08-25T10:52:00Z</dcterms:created>
  <dc:creator>Kersti Türk</dc:creator>
  <dc:description/>
  <dc:language>et-EE</dc:language>
  <cp:lastModifiedBy>Maarja Kudrjavtseva</cp:lastModifiedBy>
  <dcterms:modified xsi:type="dcterms:W3CDTF">2020-08-25T10:52:00Z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Keskkonnaministeeriumi Infotehnoloogiakeskus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